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31F9" w14:textId="77777777" w:rsidR="00A6510D" w:rsidRDefault="00A6510D">
      <w:pPr>
        <w:autoSpaceDE w:val="0"/>
        <w:autoSpaceDN w:val="0"/>
        <w:adjustRightInd w:val="0"/>
        <w:jc w:val="left"/>
        <w:rPr>
          <w:rFonts w:ascii="ＭＳ ゴシック" w:eastAsia="ＭＳ ゴシック" w:hAnsi="Times New Roman" w:cs="Times New Roman"/>
          <w:kern w:val="0"/>
          <w:sz w:val="20"/>
          <w:szCs w:val="20"/>
        </w:rPr>
      </w:pPr>
      <w:r>
        <w:rPr>
          <w:rFonts w:ascii="ＭＳ ゴシック" w:eastAsia="ＭＳ ゴシック" w:hAnsi="Times New Roman" w:cs="ＭＳ ゴシック" w:hint="eastAsia"/>
          <w:kern w:val="0"/>
          <w:sz w:val="20"/>
          <w:szCs w:val="20"/>
        </w:rPr>
        <w:t xml:space="preserve">　</w:t>
      </w:r>
      <w:r>
        <w:rPr>
          <w:rFonts w:ascii="ＭＳ ゴシック" w:eastAsia="ＭＳ ゴシック" w:hAnsi="Times New Roman" w:cs="ＭＳ ゴシック" w:hint="eastAsia"/>
          <w:kern w:val="0"/>
          <w:sz w:val="28"/>
          <w:szCs w:val="28"/>
        </w:rPr>
        <w:t xml:space="preserve">ダム建設と漁民の権利　</w:t>
      </w:r>
      <w:r>
        <w:rPr>
          <w:rFonts w:ascii="ＭＳ ゴシック" w:eastAsia="ＭＳ ゴシック" w:hAnsi="Times New Roman" w:cs="ＭＳ ゴシック" w:hint="eastAsia"/>
          <w:kern w:val="0"/>
          <w:sz w:val="20"/>
          <w:szCs w:val="20"/>
        </w:rPr>
        <w:t xml:space="preserve">　　　　　　　　　　　　</w:t>
      </w:r>
      <w:r>
        <w:rPr>
          <w:rFonts w:ascii="ＭＳ ゴシック" w:eastAsia="ＭＳ ゴシック" w:hAnsi="Times New Roman" w:cs="ＭＳ ゴシック"/>
          <w:kern w:val="0"/>
          <w:sz w:val="20"/>
          <w:szCs w:val="20"/>
        </w:rPr>
        <w:t xml:space="preserve">  </w:t>
      </w:r>
      <w:r>
        <w:rPr>
          <w:rFonts w:ascii="ＭＳ ゴシック" w:eastAsia="ＭＳ ゴシック" w:hAnsi="Times New Roman" w:cs="ＭＳ ゴシック" w:hint="eastAsia"/>
          <w:kern w:val="0"/>
          <w:sz w:val="20"/>
          <w:szCs w:val="20"/>
        </w:rPr>
        <w:t xml:space="preserve">　</w:t>
      </w:r>
      <w:r>
        <w:rPr>
          <w:rFonts w:ascii="ＭＳ ゴシック" w:eastAsia="ＭＳ ゴシック" w:hAnsi="Times New Roman" w:cs="ＭＳ ゴシック"/>
          <w:kern w:val="0"/>
          <w:sz w:val="20"/>
          <w:szCs w:val="20"/>
        </w:rPr>
        <w:t>1999</w:t>
      </w:r>
      <w:r>
        <w:rPr>
          <w:rFonts w:ascii="ＭＳ ゴシック" w:eastAsia="ＭＳ ゴシック" w:hAnsi="Times New Roman" w:cs="ＭＳ ゴシック" w:hint="eastAsia"/>
          <w:kern w:val="0"/>
          <w:sz w:val="20"/>
          <w:szCs w:val="20"/>
        </w:rPr>
        <w:t>年</w:t>
      </w:r>
      <w:r>
        <w:rPr>
          <w:rFonts w:ascii="ＭＳ ゴシック" w:eastAsia="ＭＳ ゴシック" w:hAnsi="Times New Roman" w:cs="ＭＳ ゴシック"/>
          <w:kern w:val="0"/>
          <w:sz w:val="20"/>
          <w:szCs w:val="20"/>
        </w:rPr>
        <w:t>8</w:t>
      </w:r>
      <w:r>
        <w:rPr>
          <w:rFonts w:ascii="ＭＳ ゴシック" w:eastAsia="ＭＳ ゴシック" w:hAnsi="Times New Roman" w:cs="ＭＳ ゴシック" w:hint="eastAsia"/>
          <w:kern w:val="0"/>
          <w:sz w:val="20"/>
          <w:szCs w:val="20"/>
        </w:rPr>
        <w:t>月　熊本一規</w:t>
      </w:r>
    </w:p>
    <w:p w14:paraId="284AD954"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p>
    <w:p w14:paraId="5A802403"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r>
        <w:rPr>
          <w:rFonts w:ascii="ＭＳ ゴシック" w:eastAsia="ＭＳ ゴシック" w:hAnsi="Times New Roman" w:cs="ＭＳ ゴシック"/>
          <w:b/>
          <w:bCs/>
          <w:kern w:val="0"/>
          <w:sz w:val="24"/>
          <w:szCs w:val="24"/>
        </w:rPr>
        <w:t>1</w:t>
      </w:r>
      <w:r>
        <w:rPr>
          <w:rFonts w:ascii="ＭＳ ゴシック" w:eastAsia="ＭＳ ゴシック" w:hAnsi="Times New Roman" w:cs="ＭＳ ゴシック" w:hint="eastAsia"/>
          <w:b/>
          <w:bCs/>
          <w:kern w:val="0"/>
          <w:sz w:val="24"/>
          <w:szCs w:val="24"/>
        </w:rPr>
        <w:t>．漁民はどのような権利を持っているのか</w:t>
      </w:r>
    </w:p>
    <w:p w14:paraId="00F25F49"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(1)</w:t>
      </w:r>
      <w:r>
        <w:rPr>
          <w:rFonts w:ascii="ＭＳ ゴシック" w:eastAsia="ＭＳ ゴシック" w:hAnsi="Times New Roman" w:cs="ＭＳ ゴシック" w:hint="eastAsia"/>
          <w:kern w:val="0"/>
          <w:sz w:val="22"/>
          <w:szCs w:val="22"/>
        </w:rPr>
        <w:t>漁業の一般的分類</w:t>
      </w:r>
    </w:p>
    <w:p w14:paraId="6D3E1EFA"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r>
        <w:rPr>
          <w:rFonts w:ascii="ＭＳ ゴシック" w:eastAsia="ＭＳ ゴシック" w:hAnsi="Times New Roman" w:cs="ＭＳ ゴシック" w:hint="eastAsia"/>
          <w:kern w:val="0"/>
          <w:sz w:val="22"/>
          <w:szCs w:val="22"/>
        </w:rPr>
        <w:t xml:space="preserve">　　漁業権漁業</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共同、定置、区画</w:t>
      </w:r>
      <w:r>
        <w:rPr>
          <w:rFonts w:ascii="ＭＳ ゴシック" w:eastAsia="ＭＳ ゴシック" w:hAnsi="Times New Roman" w:cs="ＭＳ ゴシック"/>
          <w:kern w:val="0"/>
          <w:sz w:val="22"/>
          <w:szCs w:val="22"/>
        </w:rPr>
        <w:t>)</w:t>
      </w:r>
    </w:p>
    <w:p w14:paraId="03374427"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許可漁業</w:t>
      </w:r>
    </w:p>
    <w:p w14:paraId="7A3E3766"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自由漁業</w:t>
      </w:r>
    </w:p>
    <w:p w14:paraId="3FE03CD7"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(2)</w:t>
      </w:r>
      <w:r>
        <w:rPr>
          <w:rFonts w:ascii="ＭＳ ゴシック" w:eastAsia="ＭＳ ゴシック" w:hAnsi="Times New Roman" w:cs="ＭＳ ゴシック" w:hint="eastAsia"/>
          <w:kern w:val="0"/>
          <w:sz w:val="22"/>
          <w:szCs w:val="22"/>
        </w:rPr>
        <w:t>漁業権漁業も許可漁業ないし自由漁業</w:t>
      </w:r>
    </w:p>
    <w:p w14:paraId="188AED88"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共同漁業は自由漁業</w:t>
      </w:r>
    </w:p>
    <w:p w14:paraId="24C743B0"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定置漁業・区画漁業は許可漁業</w:t>
      </w:r>
    </w:p>
    <w:p w14:paraId="0B7C8325"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p>
    <w:p w14:paraId="42BFCB81"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r>
        <w:rPr>
          <w:rFonts w:ascii="ＭＳ ゴシック" w:eastAsia="ＭＳ ゴシック" w:hAnsi="Times New Roman" w:cs="ＭＳ ゴシック"/>
          <w:b/>
          <w:bCs/>
          <w:kern w:val="0"/>
          <w:sz w:val="24"/>
          <w:szCs w:val="24"/>
        </w:rPr>
        <w:t>2</w:t>
      </w:r>
      <w:r>
        <w:rPr>
          <w:rFonts w:ascii="ＭＳ ゴシック" w:eastAsia="ＭＳ ゴシック" w:hAnsi="Times New Roman" w:cs="ＭＳ ゴシック" w:hint="eastAsia"/>
          <w:b/>
          <w:bCs/>
          <w:kern w:val="0"/>
          <w:sz w:val="24"/>
          <w:szCs w:val="24"/>
        </w:rPr>
        <w:t>．ダム建設</w:t>
      </w:r>
      <w:r w:rsidR="00E01F6E">
        <w:rPr>
          <w:rFonts w:ascii="ＭＳ ゴシック" w:eastAsia="ＭＳ ゴシック" w:hAnsi="Times New Roman" w:cs="ＭＳ ゴシック" w:hint="eastAsia"/>
          <w:b/>
          <w:bCs/>
          <w:kern w:val="0"/>
          <w:sz w:val="24"/>
          <w:szCs w:val="24"/>
        </w:rPr>
        <w:t>・</w:t>
      </w:r>
      <w:r>
        <w:rPr>
          <w:rFonts w:ascii="ＭＳ ゴシック" w:eastAsia="ＭＳ ゴシック" w:hAnsi="Times New Roman" w:cs="ＭＳ ゴシック" w:hint="eastAsia"/>
          <w:b/>
          <w:bCs/>
          <w:kern w:val="0"/>
          <w:sz w:val="24"/>
          <w:szCs w:val="24"/>
        </w:rPr>
        <w:t>水面埋立にはどのような手続きが必要か</w:t>
      </w:r>
    </w:p>
    <w:p w14:paraId="52EEDC05"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(1)</w:t>
      </w:r>
      <w:r>
        <w:rPr>
          <w:rFonts w:ascii="ＭＳ ゴシック" w:eastAsia="ＭＳ ゴシック" w:hAnsi="Times New Roman" w:cs="ＭＳ ゴシック" w:hint="eastAsia"/>
          <w:kern w:val="0"/>
          <w:sz w:val="22"/>
          <w:szCs w:val="22"/>
        </w:rPr>
        <w:t>公有水面埋立法</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大正</w:t>
      </w:r>
      <w:r>
        <w:rPr>
          <w:rFonts w:ascii="ＭＳ ゴシック" w:eastAsia="ＭＳ ゴシック" w:hAnsi="Times New Roman" w:cs="ＭＳ ゴシック"/>
          <w:kern w:val="0"/>
          <w:sz w:val="22"/>
          <w:szCs w:val="22"/>
        </w:rPr>
        <w:t>10</w:t>
      </w:r>
      <w:r>
        <w:rPr>
          <w:rFonts w:ascii="ＭＳ ゴシック" w:eastAsia="ＭＳ ゴシック" w:hAnsi="Times New Roman" w:cs="ＭＳ ゴシック" w:hint="eastAsia"/>
          <w:kern w:val="0"/>
          <w:sz w:val="22"/>
          <w:szCs w:val="22"/>
        </w:rPr>
        <w:t>年</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で決められていること</w:t>
      </w:r>
    </w:p>
    <w:p w14:paraId="307B8296" w14:textId="77777777" w:rsidR="00A6510D" w:rsidRDefault="00A6510D">
      <w:pPr>
        <w:autoSpaceDE w:val="0"/>
        <w:autoSpaceDN w:val="0"/>
        <w:adjustRightInd w:val="0"/>
        <w:ind w:firstLineChars="100"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・事業者に埋立免許を出すには漁業権者等の埋立同意を得なければならない</w:t>
      </w:r>
    </w:p>
    <w:p w14:paraId="0D4D7502" w14:textId="77777777" w:rsidR="00A6510D" w:rsidRDefault="00A6510D">
      <w:pPr>
        <w:autoSpaceDE w:val="0"/>
        <w:autoSpaceDN w:val="0"/>
        <w:adjustRightInd w:val="0"/>
        <w:ind w:firstLineChars="100"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・工事に着工する前に、漁業権者等に補償するか、着工同意を得なければならない</w:t>
      </w:r>
    </w:p>
    <w:p w14:paraId="6F8E9043"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(2)</w:t>
      </w:r>
      <w:r>
        <w:rPr>
          <w:rFonts w:ascii="ＭＳ ゴシック" w:eastAsia="ＭＳ ゴシック" w:hAnsi="Times New Roman" w:cs="ＭＳ ゴシック" w:hint="eastAsia"/>
          <w:kern w:val="0"/>
          <w:sz w:val="22"/>
          <w:szCs w:val="22"/>
        </w:rPr>
        <w:t>許可漁業・自由漁業に関しては、公有水面埋立法には何も規定がない</w:t>
      </w:r>
    </w:p>
    <w:p w14:paraId="4B413F91"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(3)</w:t>
      </w:r>
      <w:r>
        <w:rPr>
          <w:rFonts w:ascii="ＭＳ ゴシック" w:eastAsia="ＭＳ ゴシック" w:hAnsi="Times New Roman" w:cs="ＭＳ ゴシック" w:hint="eastAsia"/>
          <w:kern w:val="0"/>
          <w:sz w:val="22"/>
          <w:szCs w:val="22"/>
        </w:rPr>
        <w:t>許可漁業・自由漁業を無視して事業を行うことは憲法違反</w:t>
      </w:r>
    </w:p>
    <w:p w14:paraId="213086CD"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そのため、事業者は漁協を通じて一括して同意を得、また補償を行っている</w:t>
      </w:r>
    </w:p>
    <w:p w14:paraId="5DB03A3E"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p>
    <w:p w14:paraId="4CB73936"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r>
        <w:rPr>
          <w:rFonts w:ascii="ＭＳ ゴシック" w:eastAsia="ＭＳ ゴシック" w:hAnsi="Times New Roman" w:cs="ＭＳ ゴシック"/>
          <w:b/>
          <w:bCs/>
          <w:kern w:val="0"/>
          <w:sz w:val="24"/>
          <w:szCs w:val="24"/>
        </w:rPr>
        <w:t>3</w:t>
      </w:r>
      <w:r>
        <w:rPr>
          <w:rFonts w:ascii="ＭＳ ゴシック" w:eastAsia="ＭＳ ゴシック" w:hAnsi="Times New Roman" w:cs="ＭＳ ゴシック" w:hint="eastAsia"/>
          <w:b/>
          <w:bCs/>
          <w:kern w:val="0"/>
          <w:sz w:val="24"/>
          <w:szCs w:val="24"/>
        </w:rPr>
        <w:t>．共同漁業権を強制収用すると事業者が困る</w:t>
      </w:r>
    </w:p>
    <w:p w14:paraId="2C1A9A8B"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(1)</w:t>
      </w:r>
      <w:r>
        <w:rPr>
          <w:rFonts w:ascii="ＭＳ ゴシック" w:eastAsia="ＭＳ ゴシック" w:hAnsi="Times New Roman" w:cs="ＭＳ ゴシック" w:hint="eastAsia"/>
          <w:kern w:val="0"/>
          <w:sz w:val="22"/>
          <w:szCs w:val="22"/>
        </w:rPr>
        <w:t>水系全体の収用は無理</w:t>
      </w:r>
    </w:p>
    <w:p w14:paraId="13A79CBE"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・漁業権は水系全体</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上流から下流まで一体として</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で免許されているから、収用も全体で</w:t>
      </w:r>
    </w:p>
    <w:p w14:paraId="2034DB20" w14:textId="77777777" w:rsidR="00A6510D" w:rsidRDefault="00A6510D">
      <w:pPr>
        <w:autoSpaceDE w:val="0"/>
        <w:autoSpaceDN w:val="0"/>
        <w:adjustRightInd w:val="0"/>
        <w:ind w:firstLineChars="100"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せざるを得ない。そんな強権的なことはできない。</w:t>
      </w:r>
    </w:p>
    <w:p w14:paraId="26C713A6" w14:textId="77777777" w:rsidR="00A6510D" w:rsidRDefault="00A6510D">
      <w:pPr>
        <w:autoSpaceDE w:val="0"/>
        <w:autoSpaceDN w:val="0"/>
        <w:adjustRightInd w:val="0"/>
        <w:ind w:left="220" w:hangingChars="100" w:hanging="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・土地のように分筆して収用することは漁業権に関してはできない。そのような漁業権の変更免許はできないから。</w:t>
      </w:r>
    </w:p>
    <w:p w14:paraId="3E49838C"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(2)</w:t>
      </w:r>
      <w:r>
        <w:rPr>
          <w:rFonts w:ascii="ＭＳ ゴシック" w:eastAsia="ＭＳ ゴシック" w:hAnsi="Times New Roman" w:cs="ＭＳ ゴシック" w:hint="eastAsia"/>
          <w:kern w:val="0"/>
          <w:sz w:val="22"/>
          <w:szCs w:val="22"/>
        </w:rPr>
        <w:t>ダムや埋立での共同漁業権の収用事例はない</w:t>
      </w:r>
    </w:p>
    <w:p w14:paraId="25486D33"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・土地収用法に基づく漁業権の収用事例はない。</w:t>
      </w:r>
    </w:p>
    <w:p w14:paraId="6692011C" w14:textId="77777777" w:rsidR="00A6510D" w:rsidRDefault="00A6510D">
      <w:pPr>
        <w:autoSpaceDE w:val="0"/>
        <w:autoSpaceDN w:val="0"/>
        <w:adjustRightInd w:val="0"/>
        <w:ind w:left="220" w:hangingChars="100" w:hanging="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・漁業法に基づく共同漁業権の収用事例は二つ。</w:t>
      </w:r>
      <w:r>
        <w:rPr>
          <w:rFonts w:ascii="ＭＳ ゴシック" w:eastAsia="ＭＳ ゴシック" w:hAnsi="Times New Roman" w:cs="ＭＳ ゴシック"/>
          <w:kern w:val="0"/>
          <w:sz w:val="22"/>
          <w:szCs w:val="22"/>
        </w:rPr>
        <w:t>1952</w:t>
      </w:r>
      <w:r>
        <w:rPr>
          <w:rFonts w:ascii="ＭＳ ゴシック" w:eastAsia="ＭＳ ゴシック" w:hAnsi="Times New Roman" w:cs="ＭＳ ゴシック" w:hint="eastAsia"/>
          <w:kern w:val="0"/>
          <w:sz w:val="22"/>
          <w:szCs w:val="22"/>
        </w:rPr>
        <w:t>年神戸港、坂出港。いずれも航路・泊地</w:t>
      </w:r>
    </w:p>
    <w:p w14:paraId="0A41893C"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(3)</w:t>
      </w:r>
      <w:r>
        <w:rPr>
          <w:rFonts w:ascii="ＭＳ ゴシック" w:eastAsia="ＭＳ ゴシック" w:hAnsi="Times New Roman" w:cs="ＭＳ ゴシック" w:hint="eastAsia"/>
          <w:kern w:val="0"/>
          <w:sz w:val="22"/>
          <w:szCs w:val="22"/>
        </w:rPr>
        <w:t>共同漁業権を収用すると事業者自身が困る事態になる</w:t>
      </w:r>
    </w:p>
    <w:p w14:paraId="0F3A7228" w14:textId="77777777" w:rsidR="00A6510D" w:rsidRDefault="00A6510D">
      <w:pPr>
        <w:autoSpaceDE w:val="0"/>
        <w:autoSpaceDN w:val="0"/>
        <w:adjustRightInd w:val="0"/>
        <w:ind w:firstLineChars="100"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定置漁業権・区画漁業権が強制収用されると定置漁業・区画漁業はできなくなる</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漁業法</w:t>
      </w:r>
    </w:p>
    <w:p w14:paraId="503A1437" w14:textId="77777777" w:rsidR="00A6510D" w:rsidRDefault="00A6510D">
      <w:pPr>
        <w:autoSpaceDE w:val="0"/>
        <w:autoSpaceDN w:val="0"/>
        <w:adjustRightInd w:val="0"/>
        <w:ind w:firstLineChars="100"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kern w:val="0"/>
          <w:sz w:val="22"/>
          <w:szCs w:val="22"/>
        </w:rPr>
        <w:t>9</w:t>
      </w:r>
      <w:r>
        <w:rPr>
          <w:rFonts w:ascii="ＭＳ ゴシック" w:eastAsia="ＭＳ ゴシック" w:hAnsi="Times New Roman" w:cs="ＭＳ ゴシック" w:hint="eastAsia"/>
          <w:kern w:val="0"/>
          <w:sz w:val="22"/>
          <w:szCs w:val="22"/>
        </w:rPr>
        <w:t>条</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。しかし、共同漁業権を収用するとただの自由漁業に戻るから、国民誰もが共同漁</w:t>
      </w:r>
    </w:p>
    <w:p w14:paraId="5F2657D9" w14:textId="77777777" w:rsidR="00A6510D" w:rsidRDefault="00A6510D">
      <w:pPr>
        <w:autoSpaceDE w:val="0"/>
        <w:autoSpaceDN w:val="0"/>
        <w:adjustRightInd w:val="0"/>
        <w:ind w:firstLineChars="100"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業を営める。</w:t>
      </w:r>
    </w:p>
    <w:p w14:paraId="5D04FFD0" w14:textId="77777777" w:rsidR="00A6510D" w:rsidRDefault="00A6510D">
      <w:pPr>
        <w:autoSpaceDE w:val="0"/>
        <w:autoSpaceDN w:val="0"/>
        <w:adjustRightInd w:val="0"/>
        <w:ind w:leftChars="105" w:left="220" w:firstLineChars="100"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そのため、事業者は、今度は新たに加わった自由漁業者全員から同意をとらなければならなくなる。</w:t>
      </w:r>
    </w:p>
    <w:p w14:paraId="23D6C28E"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・東京湾漁民の事例</w:t>
      </w:r>
    </w:p>
    <w:p w14:paraId="00F27BF6"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w:t>
      </w:r>
      <w:r>
        <w:rPr>
          <w:rFonts w:ascii="ＭＳ ゴシック" w:eastAsia="ＭＳ ゴシック" w:hAnsi="Times New Roman" w:cs="ＭＳ ゴシック"/>
          <w:kern w:val="0"/>
          <w:sz w:val="22"/>
          <w:szCs w:val="22"/>
        </w:rPr>
        <w:t>1962</w:t>
      </w:r>
      <w:r>
        <w:rPr>
          <w:rFonts w:ascii="ＭＳ ゴシック" w:eastAsia="ＭＳ ゴシック" w:hAnsi="Times New Roman" w:cs="ＭＳ ゴシック" w:hint="eastAsia"/>
          <w:kern w:val="0"/>
          <w:sz w:val="22"/>
          <w:szCs w:val="22"/>
        </w:rPr>
        <w:t>年に漁業権はすべて放棄</w:t>
      </w:r>
    </w:p>
    <w:p w14:paraId="718A2C95" w14:textId="77777777" w:rsidR="00A6510D" w:rsidRDefault="00A6510D">
      <w:pPr>
        <w:autoSpaceDE w:val="0"/>
        <w:autoSpaceDN w:val="0"/>
        <w:adjustRightInd w:val="0"/>
        <w:ind w:firstLineChars="200" w:firstLine="440"/>
        <w:jc w:val="left"/>
        <w:rPr>
          <w:rFonts w:ascii="ＭＳ ゴシック" w:eastAsia="ＭＳ ゴシック" w:hAnsi="Times New Roman" w:cs="ＭＳ ゴシック"/>
          <w:kern w:val="0"/>
          <w:sz w:val="22"/>
          <w:szCs w:val="22"/>
        </w:rPr>
      </w:pPr>
      <w:r>
        <w:rPr>
          <w:rFonts w:ascii="ＭＳ ゴシック" w:eastAsia="ＭＳ ゴシック" w:hAnsi="Times New Roman" w:cs="ＭＳ ゴシック" w:hint="eastAsia"/>
          <w:kern w:val="0"/>
          <w:sz w:val="22"/>
          <w:szCs w:val="22"/>
        </w:rPr>
        <w:t>五ケ浦漁業組合連合会</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自由漁業者の漁業組合の連合会</w:t>
      </w:r>
      <w:r>
        <w:rPr>
          <w:rFonts w:ascii="ＭＳ ゴシック" w:eastAsia="ＭＳ ゴシック" w:hAnsi="Times New Roman" w:cs="ＭＳ ゴシック"/>
          <w:kern w:val="0"/>
          <w:sz w:val="22"/>
          <w:szCs w:val="22"/>
        </w:rPr>
        <w:t>)</w:t>
      </w:r>
    </w:p>
    <w:p w14:paraId="5CDD5461" w14:textId="77777777" w:rsidR="00A6510D" w:rsidRDefault="00A6510D">
      <w:pPr>
        <w:autoSpaceDE w:val="0"/>
        <w:autoSpaceDN w:val="0"/>
        <w:adjustRightInd w:val="0"/>
        <w:ind w:firstLine="20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京浜漁業共同組合の設立</w:t>
      </w:r>
    </w:p>
    <w:p w14:paraId="31FAE32F" w14:textId="77777777" w:rsidR="00A6510D" w:rsidRDefault="00A6510D">
      <w:pPr>
        <w:autoSpaceDE w:val="0"/>
        <w:autoSpaceDN w:val="0"/>
        <w:adjustRightInd w:val="0"/>
        <w:ind w:firstLine="20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 xml:space="preserve">　一人の漁民</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自由漁業者</w:t>
      </w:r>
      <w:r>
        <w:rPr>
          <w:rFonts w:ascii="ＭＳ ゴシック" w:eastAsia="ＭＳ ゴシック" w:hAnsi="Times New Roman" w:cs="ＭＳ ゴシック"/>
          <w:kern w:val="0"/>
          <w:sz w:val="22"/>
          <w:szCs w:val="22"/>
        </w:rPr>
        <w:t>)</w:t>
      </w:r>
      <w:r>
        <w:rPr>
          <w:rFonts w:ascii="ＭＳ ゴシック" w:eastAsia="ＭＳ ゴシック" w:hAnsi="Times New Roman" w:cs="ＭＳ ゴシック" w:hint="eastAsia"/>
          <w:kern w:val="0"/>
          <w:sz w:val="22"/>
          <w:szCs w:val="22"/>
        </w:rPr>
        <w:t>が埋立工事をストップさせた</w:t>
      </w:r>
    </w:p>
    <w:p w14:paraId="00EA42AB" w14:textId="77777777" w:rsidR="00A6510D" w:rsidRDefault="00A6510D">
      <w:pPr>
        <w:autoSpaceDE w:val="0"/>
        <w:autoSpaceDN w:val="0"/>
        <w:adjustRightInd w:val="0"/>
        <w:ind w:firstLine="200"/>
        <w:jc w:val="left"/>
        <w:rPr>
          <w:rFonts w:ascii="ＭＳ ゴシック" w:eastAsia="ＭＳ ゴシック" w:hAnsi="Times New Roman" w:cs="Times New Roman"/>
          <w:b/>
          <w:bCs/>
          <w:kern w:val="0"/>
          <w:sz w:val="24"/>
          <w:szCs w:val="24"/>
        </w:rPr>
      </w:pPr>
    </w:p>
    <w:p w14:paraId="360C3D43"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r>
        <w:rPr>
          <w:rFonts w:ascii="ＭＳ ゴシック" w:eastAsia="ＭＳ ゴシック" w:hAnsi="Times New Roman" w:cs="ＭＳ ゴシック"/>
          <w:b/>
          <w:bCs/>
          <w:kern w:val="0"/>
          <w:sz w:val="24"/>
          <w:szCs w:val="24"/>
        </w:rPr>
        <w:lastRenderedPageBreak/>
        <w:t>4</w:t>
      </w:r>
      <w:r>
        <w:rPr>
          <w:rFonts w:ascii="ＭＳ ゴシック" w:eastAsia="ＭＳ ゴシック" w:hAnsi="Times New Roman" w:cs="ＭＳ ゴシック" w:hint="eastAsia"/>
          <w:b/>
          <w:bCs/>
          <w:kern w:val="0"/>
          <w:sz w:val="24"/>
          <w:szCs w:val="24"/>
        </w:rPr>
        <w:t>．共同漁業権の「漁業権者の同意」は「関係漁民全員の同意」</w:t>
      </w:r>
    </w:p>
    <w:p w14:paraId="0E971474"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・共同漁業権は入会漁業権</w:t>
      </w:r>
    </w:p>
    <w:p w14:paraId="54F84E4D"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・入会漁業権の消滅には、関係漁民全員の同意が必要</w:t>
      </w:r>
    </w:p>
    <w:p w14:paraId="54E0C799"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・総会決議説のおかしさ</w:t>
      </w:r>
    </w:p>
    <w:p w14:paraId="4E561A70" w14:textId="77777777" w:rsidR="00A6510D" w:rsidRDefault="00A6510D">
      <w:pPr>
        <w:autoSpaceDE w:val="0"/>
        <w:autoSpaceDN w:val="0"/>
        <w:adjustRightInd w:val="0"/>
        <w:ind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風成事件</w:t>
      </w:r>
    </w:p>
    <w:p w14:paraId="58411D11" w14:textId="77777777" w:rsidR="00A6510D" w:rsidRDefault="00A6510D">
      <w:pPr>
        <w:autoSpaceDE w:val="0"/>
        <w:autoSpaceDN w:val="0"/>
        <w:adjustRightInd w:val="0"/>
        <w:ind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唐津の事例</w:t>
      </w:r>
    </w:p>
    <w:p w14:paraId="550501F8" w14:textId="77777777" w:rsidR="00A6510D" w:rsidRDefault="00A6510D">
      <w:pPr>
        <w:autoSpaceDE w:val="0"/>
        <w:autoSpaceDN w:val="0"/>
        <w:adjustRightInd w:val="0"/>
        <w:ind w:firstLine="22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総会決議を必ずあげるようになったのは松山空港事件判決以降のこと</w:t>
      </w:r>
    </w:p>
    <w:p w14:paraId="3C297D68"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・関係漁民全員の同意は補償金を関係漁民全員がもらうことを通じて得られている</w:t>
      </w:r>
    </w:p>
    <w:p w14:paraId="1EBCD15B"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・石川県七尾火力事件</w:t>
      </w:r>
    </w:p>
    <w:p w14:paraId="4CB849FA"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r>
        <w:rPr>
          <w:rFonts w:ascii="ＭＳ ゴシック" w:eastAsia="ＭＳ ゴシック" w:hAnsi="Times New Roman" w:cs="ＭＳ ゴシック" w:hint="eastAsia"/>
          <w:kern w:val="0"/>
          <w:sz w:val="22"/>
          <w:szCs w:val="22"/>
        </w:rPr>
        <w:t>・浜本幸生氏の千頁の本</w:t>
      </w:r>
    </w:p>
    <w:p w14:paraId="54FAE552"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p>
    <w:p w14:paraId="383C4B0A" w14:textId="77777777" w:rsidR="00A6510D" w:rsidRDefault="00A6510D">
      <w:pPr>
        <w:autoSpaceDE w:val="0"/>
        <w:autoSpaceDN w:val="0"/>
        <w:adjustRightInd w:val="0"/>
        <w:jc w:val="left"/>
        <w:rPr>
          <w:rFonts w:ascii="ＭＳ ゴシック" w:eastAsia="ＭＳ ゴシック" w:hAnsi="Times New Roman" w:cs="Times New Roman"/>
          <w:b/>
          <w:bCs/>
          <w:kern w:val="0"/>
          <w:sz w:val="24"/>
          <w:szCs w:val="24"/>
        </w:rPr>
      </w:pPr>
      <w:r>
        <w:rPr>
          <w:rFonts w:ascii="ＭＳ ゴシック" w:eastAsia="ＭＳ ゴシック" w:hAnsi="Times New Roman" w:cs="ＭＳ ゴシック"/>
          <w:b/>
          <w:bCs/>
          <w:kern w:val="0"/>
          <w:sz w:val="24"/>
          <w:szCs w:val="24"/>
        </w:rPr>
        <w:t>5</w:t>
      </w:r>
      <w:r>
        <w:rPr>
          <w:rFonts w:ascii="ＭＳ ゴシック" w:eastAsia="ＭＳ ゴシック" w:hAnsi="Times New Roman" w:cs="ＭＳ ゴシック" w:hint="eastAsia"/>
          <w:b/>
          <w:bCs/>
          <w:kern w:val="0"/>
          <w:sz w:val="24"/>
          <w:szCs w:val="24"/>
        </w:rPr>
        <w:t>．仮に総会決議説に基づいても総会決議に対抗できる作戦</w:t>
      </w:r>
    </w:p>
    <w:p w14:paraId="7C1786B6"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r>
        <w:rPr>
          <w:rFonts w:ascii="ＭＳ ゴシック" w:eastAsia="ＭＳ ゴシック" w:hAnsi="Times New Roman" w:cs="ＭＳ ゴシック"/>
          <w:kern w:val="0"/>
          <w:sz w:val="22"/>
          <w:szCs w:val="22"/>
        </w:rPr>
        <w:t>(1)</w:t>
      </w:r>
    </w:p>
    <w:p w14:paraId="2D97EA48"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p>
    <w:p w14:paraId="380390DE"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p>
    <w:p w14:paraId="7BD95DC6"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r>
        <w:rPr>
          <w:rFonts w:ascii="ＭＳ ゴシック" w:eastAsia="ＭＳ ゴシック" w:hAnsi="Times New Roman" w:cs="ＭＳ ゴシック"/>
          <w:kern w:val="0"/>
          <w:sz w:val="22"/>
          <w:szCs w:val="22"/>
        </w:rPr>
        <w:t>(2)</w:t>
      </w:r>
    </w:p>
    <w:p w14:paraId="5CEF7FEC"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p>
    <w:p w14:paraId="6B0B5879"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p>
    <w:p w14:paraId="2D4E0EB2" w14:textId="77777777" w:rsidR="00A6510D" w:rsidRDefault="00A6510D">
      <w:pPr>
        <w:autoSpaceDE w:val="0"/>
        <w:autoSpaceDN w:val="0"/>
        <w:adjustRightInd w:val="0"/>
        <w:jc w:val="left"/>
        <w:rPr>
          <w:rFonts w:ascii="ＭＳ ゴシック" w:eastAsia="ＭＳ ゴシック" w:hAnsi="Times New Roman" w:cs="ＭＳ ゴシック"/>
          <w:kern w:val="0"/>
          <w:sz w:val="22"/>
          <w:szCs w:val="22"/>
        </w:rPr>
      </w:pPr>
      <w:r>
        <w:rPr>
          <w:rFonts w:ascii="ＭＳ ゴシック" w:eastAsia="ＭＳ ゴシック" w:hAnsi="Times New Roman" w:cs="ＭＳ ゴシック"/>
          <w:kern w:val="0"/>
          <w:sz w:val="22"/>
          <w:szCs w:val="22"/>
        </w:rPr>
        <w:t>(3)</w:t>
      </w:r>
    </w:p>
    <w:p w14:paraId="26969C81" w14:textId="77777777" w:rsidR="00A6510D" w:rsidRDefault="00A6510D">
      <w:pPr>
        <w:autoSpaceDE w:val="0"/>
        <w:autoSpaceDN w:val="0"/>
        <w:adjustRightInd w:val="0"/>
        <w:jc w:val="left"/>
        <w:rPr>
          <w:rFonts w:ascii="ＭＳ ゴシック" w:eastAsia="ＭＳ ゴシック" w:hAnsi="Times New Roman" w:cs="Times New Roman"/>
          <w:kern w:val="0"/>
          <w:sz w:val="22"/>
          <w:szCs w:val="22"/>
        </w:rPr>
      </w:pPr>
    </w:p>
    <w:sectPr w:rsidR="00A6510D">
      <w:headerReference w:type="default" r:id="rId7"/>
      <w:footerReference w:type="default" r:id="rId8"/>
      <w:pgSz w:w="12240" w:h="15840"/>
      <w:pgMar w:top="1985" w:right="1701" w:bottom="1701" w:left="1701" w:header="720" w:footer="6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3C75F" w14:textId="77777777" w:rsidR="00401FE2" w:rsidRDefault="00401FE2">
      <w:r>
        <w:separator/>
      </w:r>
    </w:p>
  </w:endnote>
  <w:endnote w:type="continuationSeparator" w:id="0">
    <w:p w14:paraId="6F4E64F9" w14:textId="77777777" w:rsidR="00401FE2" w:rsidRDefault="0040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94E4" w14:textId="77777777" w:rsidR="00A6510D" w:rsidRDefault="00A6510D">
    <w:pPr>
      <w:autoSpaceDE w:val="0"/>
      <w:autoSpaceDN w:val="0"/>
      <w:adjustRightInd w:val="0"/>
      <w:jc w:val="left"/>
      <w:rPr>
        <w:rFonts w:ascii="ＭＳ ゴシック" w:eastAsia="ＭＳ ゴシック" w:hAnsi="Times New Roman" w:cs="Times New Roman"/>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16DB3" w14:textId="77777777" w:rsidR="00401FE2" w:rsidRDefault="00401FE2">
      <w:r>
        <w:separator/>
      </w:r>
    </w:p>
  </w:footnote>
  <w:footnote w:type="continuationSeparator" w:id="0">
    <w:p w14:paraId="0A7969B5" w14:textId="77777777" w:rsidR="00401FE2" w:rsidRDefault="0040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7F7C4" w14:textId="77777777" w:rsidR="00A6510D" w:rsidRDefault="00A6510D">
    <w:pPr>
      <w:autoSpaceDE w:val="0"/>
      <w:autoSpaceDN w:val="0"/>
      <w:adjustRightInd w:val="0"/>
      <w:jc w:val="left"/>
      <w:rPr>
        <w:rFonts w:ascii="ＭＳ ゴシック" w:eastAsia="ＭＳ ゴシック" w:hAnsi="Times New Roman" w:cs="Times New Roman"/>
        <w:kern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6043"/>
    <w:multiLevelType w:val="hybridMultilevel"/>
    <w:tmpl w:val="C82CEE98"/>
    <w:lvl w:ilvl="0" w:tplc="45206630">
      <w:start w:val="2"/>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6E4CC0"/>
    <w:multiLevelType w:val="hybridMultilevel"/>
    <w:tmpl w:val="3C9EE37A"/>
    <w:lvl w:ilvl="0" w:tplc="DC2C1D1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23294"/>
    <w:multiLevelType w:val="hybridMultilevel"/>
    <w:tmpl w:val="61DE156A"/>
    <w:lvl w:ilvl="0" w:tplc="DAAA5968">
      <w:start w:val="4"/>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772347"/>
    <w:multiLevelType w:val="hybridMultilevel"/>
    <w:tmpl w:val="9FCAAC7E"/>
    <w:lvl w:ilvl="0" w:tplc="07BAB83E">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6A00CC"/>
    <w:multiLevelType w:val="hybridMultilevel"/>
    <w:tmpl w:val="3516EAAE"/>
    <w:lvl w:ilvl="0" w:tplc="46B4E2F4">
      <w:start w:val="4"/>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113255"/>
    <w:multiLevelType w:val="hybridMultilevel"/>
    <w:tmpl w:val="57A26374"/>
    <w:lvl w:ilvl="0" w:tplc="5906BD36">
      <w:start w:val="4"/>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2C7DA6"/>
    <w:multiLevelType w:val="hybridMultilevel"/>
    <w:tmpl w:val="C48E0FA4"/>
    <w:lvl w:ilvl="0" w:tplc="5AE44B64">
      <w:start w:val="4"/>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912C28"/>
    <w:multiLevelType w:val="hybridMultilevel"/>
    <w:tmpl w:val="78FE07EE"/>
    <w:lvl w:ilvl="0" w:tplc="02D04D5E">
      <w:start w:val="4"/>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4BC2B6F"/>
    <w:multiLevelType w:val="hybridMultilevel"/>
    <w:tmpl w:val="49CEDFB8"/>
    <w:lvl w:ilvl="0" w:tplc="FADC8A46">
      <w:start w:val="2"/>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AE2A25"/>
    <w:multiLevelType w:val="hybridMultilevel"/>
    <w:tmpl w:val="899A67EA"/>
    <w:lvl w:ilvl="0" w:tplc="97F4FC82">
      <w:start w:val="1"/>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3"/>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F6E"/>
    <w:rsid w:val="00401FE2"/>
    <w:rsid w:val="00A6510D"/>
    <w:rsid w:val="00DC50BD"/>
    <w:rsid w:val="00E0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D3006F"/>
  <w14:defaultImageDpi w14:val="0"/>
  <w15:docId w15:val="{120C5226-3C44-4483-A570-EA65DEDD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ダム建設と漁民の権利　　　　　　　　　　　　　  　1999年8月　熊本一規</dc:title>
  <dc:subject/>
  <dc:creator>熊本一規</dc:creator>
  <cp:keywords/>
  <dc:description/>
  <cp:lastModifiedBy>一規 熊本</cp:lastModifiedBy>
  <cp:revision>2</cp:revision>
  <dcterms:created xsi:type="dcterms:W3CDTF">2020-12-04T04:40:00Z</dcterms:created>
  <dcterms:modified xsi:type="dcterms:W3CDTF">2020-12-04T04:40:00Z</dcterms:modified>
</cp:coreProperties>
</file>